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rFonts w:ascii="Arial" w:cs="Arial" w:eastAsia="Arial" w:hAnsi="Arial"/>
          <w:b/>
          <w:bCs/>
          <w:color w:val="1A73E8"/>
          <w:sz w:val="22"/>
          <w:szCs w:val="22"/>
        </w:rPr>
        <w:t xml:space="preserve">RELEASE NOTES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1E293B"/>
          <w:sz w:val="48"/>
          <w:szCs w:val="48"/>
        </w:rPr>
        <w:t xml:space="preserve">Intake &amp; Behandelplan</w:t>
      </w:r>
    </w:p>
    <w:p>
      <w:pPr>
        <w:spacing w:after="40"/>
      </w:pPr>
      <w:r>
        <w:rPr>
          <w:rFonts w:ascii="Arial" w:cs="Arial" w:eastAsia="Arial" w:hAnsi="Arial"/>
          <w:color w:val="64748B"/>
          <w:sz w:val="21"/>
          <w:szCs w:val="21"/>
        </w:rPr>
        <w:t xml:space="preserve">Datum: </w:t>
      </w:r>
      <w:r>
        <w:rPr>
          <w:rFonts w:ascii="Arial" w:cs="Arial" w:eastAsia="Arial" w:hAnsi="Arial"/>
          <w:b/>
          <w:bCs/>
          <w:color w:val="1E293B"/>
          <w:sz w:val="21"/>
          <w:szCs w:val="21"/>
        </w:rPr>
        <w:t xml:space="preserve">9 maart 2026</w:t>
      </w:r>
      <w:r>
        <w:rPr>
          <w:rFonts w:ascii="Arial" w:cs="Arial" w:eastAsia="Arial" w:hAnsi="Arial"/>
          <w:color w:val="64748B"/>
          <w:sz w:val="21"/>
          <w:szCs w:val="21"/>
        </w:rPr>
        <w:t xml:space="preserve">   |   Doelgroep: </w:t>
      </w:r>
      <w:r>
        <w:rPr>
          <w:rFonts w:ascii="Arial" w:cs="Arial" w:eastAsia="Arial" w:hAnsi="Arial"/>
          <w:b/>
          <w:bCs/>
          <w:color w:val="1E293B"/>
          <w:sz w:val="21"/>
          <w:szCs w:val="21"/>
        </w:rPr>
        <w:t xml:space="preserve">Behandelaars</w:t>
      </w:r>
    </w:p>
    <w:p>
      <w:pPr>
        <w:pBdr>
          <w:bottom w:val="single" w:color="1A73E8" w:sz="8" w:space="1"/>
        </w:pBdr>
        <w:spacing w:after="240"/>
      </w:pPr>
    </w:p>
    <w:p>
      <w:pPr>
        <w:spacing w:after="12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Deze release levert een volledige intake-werkruimte en een AI-ondersteund behandelplan. Samen vormen ze één doorgaande lijn: van eerste screening tot actief behandelplan met SMART-doelen.</w:t>
      </w:r>
    </w:p>
    <w:p>
      <w:pPr>
        <w:spacing w:after="80"/>
      </w:pPr>
    </w:p>
    <w:p>
      <w:pPr>
        <w:pStyle w:val="Heading1"/>
        <w:spacing w:after="200" w:before="360"/>
      </w:pPr>
      <w:r>
        <w:rPr>
          <w:rFonts w:ascii="Arial" w:cs="Arial" w:eastAsia="Arial" w:hAnsi="Arial"/>
          <w:b/>
          <w:bCs/>
          <w:color w:val="1E293B"/>
          <w:sz w:val="32"/>
          <w:szCs w:val="32"/>
        </w:rPr>
        <w:t xml:space="preserve">Cliëntenoverzicht</w:t>
      </w:r>
    </w:p>
    <w:p>
      <w:pPr>
        <w:spacing w:after="12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Het overzicht van alle cliënten is uitgebreid met filters en statusinformatie, zodat je snel ziet waar een cliënt in het traject staat.</w:t>
      </w:r>
    </w:p>
    <w:p>
      <w:pPr>
        <w:spacing w:after="80"/>
      </w:pP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/>
          <w:bCs/>
          <w:color w:val="1E293B"/>
          <w:sz w:val="21"/>
          <w:szCs w:val="21"/>
        </w:rPr>
        <w:t xml:space="preserve">Statusbadges</w:t>
      </w:r>
      <w:r>
        <w:rPr>
          <w:rFonts w:ascii="Arial" w:cs="Arial" w:eastAsia="Arial" w:hAnsi="Arial"/>
          <w:color w:val="1E293B"/>
          <w:sz w:val="21"/>
          <w:szCs w:val="21"/>
        </w:rPr>
        <w:t xml:space="preserve"> per cliënt: Actief, Screening of Afgemeld — direct zichtbaar in de lijst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/>
          <w:bCs/>
          <w:color w:val="1E293B"/>
          <w:sz w:val="21"/>
          <w:szCs w:val="21"/>
        </w:rPr>
        <w:t xml:space="preserve">Filteren</w:t>
      </w:r>
      <w:r>
        <w:rPr>
          <w:rFonts w:ascii="Arial" w:cs="Arial" w:eastAsia="Arial" w:hAnsi="Arial"/>
          <w:color w:val="1E293B"/>
          <w:sz w:val="21"/>
          <w:szCs w:val="21"/>
        </w:rPr>
        <w:t xml:space="preserve"> op status én geslacht via de filterbalk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/>
          <w:bCs/>
          <w:color w:val="1E293B"/>
          <w:sz w:val="21"/>
          <w:szCs w:val="21"/>
        </w:rPr>
        <w:t xml:space="preserve">Zoeken</w:t>
      </w:r>
      <w:r>
        <w:rPr>
          <w:rFonts w:ascii="Arial" w:cs="Arial" w:eastAsia="Arial" w:hAnsi="Arial"/>
          <w:color w:val="1E293B"/>
          <w:sz w:val="21"/>
          <w:szCs w:val="21"/>
        </w:rPr>
        <w:t xml:space="preserve"> op naam of BSN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Kolom “Laatst gewijzigd” toont datum en tijdstip van de meest recente aanpassing</w:t>
      </w:r>
    </w:p>
    <w:p>
      <w:pPr>
        <w:spacing w:after="80"/>
      </w:pPr>
    </w:p>
    <w:p>
      <w:pPr>
        <w:spacing w:after="120" w:before="200"/>
        <w:jc w:val="center"/>
      </w:pPr>
      <w:r>
        <w:drawing>
          <wp:inline distT="0" distB="0" distL="0" distR="0">
            <wp:extent cx="5524500" cy="2952750"/>
            <wp:effectExtent t="0" r="0" b="0" l="0"/>
            <wp:docPr id="1" name="Cliëntenoverzicht" descr="Cliëntenoverzicht" title="Cliëntenoverzi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Arial" w:cs="Arial" w:eastAsia="Arial" w:hAnsi="Arial"/>
          <w:i/>
          <w:iCs/>
          <w:color w:val="64748B"/>
          <w:sz w:val="18"/>
          <w:szCs w:val="18"/>
        </w:rPr>
        <w:t xml:space="preserve">Afbeelding 1 – Cliëntenoverzicht met statusbadges en filters</w:t>
      </w:r>
    </w:p>
    <w:p>
      <w:pPr>
        <w:pStyle w:val="Heading1"/>
        <w:spacing w:after="200" w:before="360"/>
      </w:pPr>
      <w:r>
        <w:rPr>
          <w:rFonts w:ascii="Arial" w:cs="Arial" w:eastAsia="Arial" w:hAnsi="Arial"/>
          <w:b/>
          <w:bCs/>
          <w:color w:val="1E293B"/>
          <w:sz w:val="32"/>
          <w:szCs w:val="32"/>
        </w:rPr>
        <w:t xml:space="preserve">Patiëntdashboard</w:t>
      </w:r>
    </w:p>
    <w:p>
      <w:pPr>
        <w:spacing w:after="12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Per cliënt is er nu een overzichtspagina die als startpunt dient voor het hele zorgtraject.</w:t>
      </w:r>
    </w:p>
    <w:p>
      <w:pPr>
        <w:spacing w:after="80"/>
      </w:pP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Drie snelkoppelingen: Basisgegevens, Screening, Intake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/>
          <w:bCs/>
          <w:color w:val="1E293B"/>
          <w:sz w:val="21"/>
          <w:szCs w:val="21"/>
        </w:rPr>
        <w:t xml:space="preserve">Recente Intakes</w:t>
      </w:r>
      <w:r>
        <w:rPr>
          <w:rFonts w:ascii="Arial" w:cs="Arial" w:eastAsia="Arial" w:hAnsi="Arial"/>
          <w:color w:val="1E293B"/>
          <w:sz w:val="21"/>
          <w:szCs w:val="21"/>
        </w:rPr>
        <w:t xml:space="preserve"> met titel, afdeling, datum en status (bezig / afgerond)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/>
          <w:bCs/>
          <w:color w:val="1E293B"/>
          <w:sz w:val="21"/>
          <w:szCs w:val="21"/>
        </w:rPr>
        <w:t xml:space="preserve">Agenda Afspraken</w:t>
      </w:r>
      <w:r>
        <w:rPr>
          <w:rFonts w:ascii="Arial" w:cs="Arial" w:eastAsia="Arial" w:hAnsi="Arial"/>
          <w:color w:val="1E293B"/>
          <w:sz w:val="21"/>
          <w:szCs w:val="21"/>
        </w:rPr>
        <w:t xml:space="preserve"> met aankomende en recente afspraken inclusief type en tijdstip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Preview van het actieve behandelplan en een “Volgende stappen”-blok</w:t>
      </w:r>
    </w:p>
    <w:p>
      <w:pPr>
        <w:spacing w:after="80"/>
      </w:pPr>
    </w:p>
    <w:p>
      <w:pPr>
        <w:spacing w:after="120" w:before="200"/>
        <w:jc w:val="center"/>
      </w:pPr>
      <w:r>
        <w:drawing>
          <wp:inline distT="0" distB="0" distL="0" distR="0">
            <wp:extent cx="5524500" cy="2857500"/>
            <wp:effectExtent t="0" r="0" b="0" l="0"/>
            <wp:docPr id="1" name="Patiëntdashboard" descr="Patiëntdashboard" title="Patiëntdash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Arial" w:cs="Arial" w:eastAsia="Arial" w:hAnsi="Arial"/>
          <w:i/>
          <w:iCs/>
          <w:color w:val="64748B"/>
          <w:sz w:val="18"/>
          <w:szCs w:val="18"/>
        </w:rPr>
        <w:t xml:space="preserve">Afbeelding 2 – Patiëntdashboard met snelkoppelingen en overzichten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Arial" w:cs="Arial" w:eastAsia="Arial" w:hAnsi="Arial"/>
          <w:b/>
          <w:bCs/>
          <w:color w:val="1E293B"/>
          <w:sz w:val="32"/>
          <w:szCs w:val="32"/>
        </w:rPr>
        <w:t xml:space="preserve">Intake</w:t>
      </w:r>
    </w:p>
    <w:p>
      <w:pPr>
        <w:spacing w:after="12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De intakewerkruimte bestaat uit negen tabs die het volledige diagnostisch traject dekken. Je werkt ze niet verplicht op volgorde af — je kunt altijd naar elke tab navigeren.</w:t>
      </w:r>
    </w:p>
    <w:p>
      <w:pPr>
        <w:spacing w:after="80"/>
      </w:pPr>
    </w:p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1A73E8"/>
          <w:sz w:val="26"/>
          <w:szCs w:val="26"/>
        </w:rPr>
        <w:t xml:space="preserve">Tabs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rPr>
          <w:tblHeader/>
        </w:trPr>
        <w:tc>
          <w:tcPr>
            <w:tcW w:type="dxa" w:w="4513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1A73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Tab</w:t>
            </w:r>
          </w:p>
        </w:tc>
        <w:tc>
          <w:tcPr>
            <w:tcW w:type="dxa" w:w="4513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1A73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Wat je hier doet</w:t>
            </w:r>
          </w:p>
        </w:tc>
      </w:tr>
      <w:tr>
        <w:tc>
          <w:tcPr>
            <w:tcW w:type="dxa" w:w="4513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1E293B"/>
                <w:sz w:val="20"/>
                <w:szCs w:val="20"/>
              </w:rPr>
              <w:t xml:space="preserve">Algemeen</w:t>
            </w:r>
          </w:p>
        </w:tc>
        <w:tc>
          <w:tcPr>
            <w:tcW w:type="dxa" w:w="4513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1E293B"/>
                <w:sz w:val="20"/>
                <w:szCs w:val="20"/>
              </w:rPr>
              <w:t xml:space="preserve">Titel, afdeling, status en startdatum van de intake; notitieveld</w:t>
            </w:r>
          </w:p>
        </w:tc>
      </w:tr>
      <w:tr>
        <w:tc>
          <w:tcPr>
            <w:tcW w:type="dxa" w:w="4513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1F5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1E293B"/>
                <w:sz w:val="20"/>
                <w:szCs w:val="20"/>
              </w:rPr>
              <w:t xml:space="preserve">Contactmomenten</w:t>
            </w:r>
          </w:p>
        </w:tc>
        <w:tc>
          <w:tcPr>
            <w:tcW w:type="dxa" w:w="4513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1F5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1E293B"/>
                <w:sz w:val="20"/>
                <w:szCs w:val="20"/>
              </w:rPr>
              <w:t xml:space="preserve">Registreer gesprekken (datum, tijd, type, locatie, notities)</w:t>
            </w:r>
          </w:p>
        </w:tc>
      </w:tr>
      <w:tr>
        <w:tc>
          <w:tcPr>
            <w:tcW w:type="dxa" w:w="4513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1E293B"/>
                <w:sz w:val="20"/>
                <w:szCs w:val="20"/>
              </w:rPr>
              <w:t xml:space="preserve">Kindcheck</w:t>
            </w:r>
          </w:p>
        </w:tc>
        <w:tc>
          <w:tcPr>
            <w:tcW w:type="dxa" w:w="4513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1E293B"/>
                <w:sz w:val="20"/>
                <w:szCs w:val="20"/>
              </w:rPr>
              <w:t xml:space="preserve">Vastleggen of er kinderen betrokken zijn, zorgen en ondernomen acties</w:t>
            </w:r>
          </w:p>
        </w:tc>
      </w:tr>
      <w:tr>
        <w:tc>
          <w:tcPr>
            <w:tcW w:type="dxa" w:w="4513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1F5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1E293B"/>
                <w:sz w:val="20"/>
                <w:szCs w:val="20"/>
              </w:rPr>
              <w:t xml:space="preserve">Risicotaxatie</w:t>
            </w:r>
          </w:p>
        </w:tc>
        <w:tc>
          <w:tcPr>
            <w:tcW w:type="dxa" w:w="4513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1F5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1E293B"/>
                <w:sz w:val="20"/>
                <w:szCs w:val="20"/>
              </w:rPr>
              <w:t xml:space="preserve">Risico’s per type met ernst (laag / middel / hoog) en vervolgacties</w:t>
            </w:r>
          </w:p>
        </w:tc>
      </w:tr>
      <w:tr>
        <w:tc>
          <w:tcPr>
            <w:tcW w:type="dxa" w:w="4513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1E293B"/>
                <w:sz w:val="20"/>
                <w:szCs w:val="20"/>
              </w:rPr>
              <w:t xml:space="preserve">Anamnese</w:t>
            </w:r>
          </w:p>
        </w:tc>
        <w:tc>
          <w:tcPr>
            <w:tcW w:type="dxa" w:w="4513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1E293B"/>
                <w:sz w:val="20"/>
                <w:szCs w:val="20"/>
              </w:rPr>
              <w:t xml:space="preserve">Psychiatrische, sociale en familiegeschiedenis</w:t>
            </w:r>
          </w:p>
        </w:tc>
      </w:tr>
      <w:tr>
        <w:tc>
          <w:tcPr>
            <w:tcW w:type="dxa" w:w="4513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1F5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1E293B"/>
                <w:sz w:val="20"/>
                <w:szCs w:val="20"/>
              </w:rPr>
              <w:t xml:space="preserve">Onderzoeken</w:t>
            </w:r>
          </w:p>
        </w:tc>
        <w:tc>
          <w:tcPr>
            <w:tcW w:type="dxa" w:w="4513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1F5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1E293B"/>
                <w:sz w:val="20"/>
                <w:szCs w:val="20"/>
              </w:rPr>
              <w:t xml:space="preserve">Psychodiagnostisch onderzoek met type, datum en uitkomst</w:t>
            </w:r>
          </w:p>
        </w:tc>
      </w:tr>
      <w:tr>
        <w:tc>
          <w:tcPr>
            <w:tcW w:type="dxa" w:w="4513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1E293B"/>
                <w:sz w:val="20"/>
                <w:szCs w:val="20"/>
              </w:rPr>
              <w:t xml:space="preserve">ROM</w:t>
            </w:r>
          </w:p>
        </w:tc>
        <w:tc>
          <w:tcPr>
            <w:tcW w:type="dxa" w:w="4513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1E293B"/>
                <w:sz w:val="20"/>
                <w:szCs w:val="20"/>
              </w:rPr>
              <w:t xml:space="preserve">Outcome-meting met scores per instrument</w:t>
            </w:r>
          </w:p>
        </w:tc>
      </w:tr>
      <w:tr>
        <w:tc>
          <w:tcPr>
            <w:tcW w:type="dxa" w:w="4513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1F5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1E293B"/>
                <w:sz w:val="20"/>
                <w:szCs w:val="20"/>
              </w:rPr>
              <w:t xml:space="preserve">Diagnose</w:t>
            </w:r>
          </w:p>
        </w:tc>
        <w:tc>
          <w:tcPr>
            <w:tcW w:type="dxa" w:w="4513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1F5F9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1E293B"/>
                <w:sz w:val="20"/>
                <w:szCs w:val="20"/>
              </w:rPr>
              <w:t xml:space="preserve">ICD-10 diagnoses met hoofd- en nevendiagnose, ernst en datum</w:t>
            </w:r>
          </w:p>
        </w:tc>
      </w:tr>
      <w:tr>
        <w:tc>
          <w:tcPr>
            <w:tcW w:type="dxa" w:w="4513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1E293B"/>
                <w:sz w:val="20"/>
                <w:szCs w:val="20"/>
              </w:rPr>
              <w:t xml:space="preserve">Behandeladvies</w:t>
            </w:r>
          </w:p>
        </w:tc>
        <w:tc>
          <w:tcPr>
            <w:tcW w:type="dxa" w:w="4513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1E293B"/>
                <w:sz w:val="20"/>
                <w:szCs w:val="20"/>
              </w:rPr>
              <w:t xml:space="preserve">Advies, aanbevolen behandeling, gekoppelde psycholoog en programma</w:t>
            </w:r>
          </w:p>
        </w:tc>
      </w:tr>
    </w:tbl>
    <w:p>
      <w:pPr>
        <w:spacing w:after="80"/>
      </w:pPr>
    </w:p>
    <w:p>
      <w:pPr>
        <w:spacing w:after="120" w:before="200"/>
        <w:jc w:val="center"/>
      </w:pPr>
      <w:r>
        <w:drawing>
          <wp:inline distT="0" distB="0" distL="0" distR="0">
            <wp:extent cx="5524500" cy="3238500"/>
            <wp:effectExtent t="0" r="0" b="0" l="0"/>
            <wp:docPr id="1" name="Intake - Algemeen tab" descr="Intake - Algemeen tab" title="Intake - Algemeen t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Arial" w:cs="Arial" w:eastAsia="Arial" w:hAnsi="Arial"/>
          <w:i/>
          <w:iCs/>
          <w:color w:val="64748B"/>
          <w:sz w:val="18"/>
          <w:szCs w:val="18"/>
        </w:rPr>
        <w:t xml:space="preserve">Afbeelding 3 – Intake-werkruimte: Algemeen tab</w:t>
      </w:r>
    </w:p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1A73E8"/>
          <w:sz w:val="26"/>
          <w:szCs w:val="26"/>
        </w:rPr>
        <w:t xml:space="preserve">Diagnoses registreren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Zoek en koppel een ICD-10 code via de zoekbalk (combobox)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Markeer één diagnose als hoofddiagnose; overige worden als nevendiagnose geregistreerd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Registreer de ernst: mild, matig of ernstig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Meerdere diagnoses per intake zijn mogelijk; de hoofddiagnose staat altijd bovenaan</w:t>
      </w:r>
    </w:p>
    <w:p>
      <w:pPr>
        <w:spacing w:after="80"/>
      </w:pPr>
    </w:p>
    <w:p>
      <w:pPr>
        <w:spacing w:after="120" w:before="200"/>
        <w:jc w:val="center"/>
      </w:pPr>
      <w:r>
        <w:drawing>
          <wp:inline distT="0" distB="0" distL="0" distR="0">
            <wp:extent cx="5524500" cy="3238500"/>
            <wp:effectExtent t="0" r="0" b="0" l="0"/>
            <wp:docPr id="1" name="Intake - Diagnose tab" descr="Intake - Diagnose tab" title="Intake - Diagnose t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Arial" w:cs="Arial" w:eastAsia="Arial" w:hAnsi="Arial"/>
          <w:i/>
          <w:iCs/>
          <w:color w:val="64748B"/>
          <w:sz w:val="18"/>
          <w:szCs w:val="18"/>
        </w:rPr>
        <w:t xml:space="preserve">Afbeelding 4 – Diagnose-tab met ICD-10 classificatie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Arial" w:cs="Arial" w:eastAsia="Arial" w:hAnsi="Arial"/>
          <w:b/>
          <w:bCs/>
          <w:color w:val="1E293B"/>
          <w:sz w:val="32"/>
          <w:szCs w:val="32"/>
        </w:rPr>
        <w:t xml:space="preserve">Behandelplan</w:t>
      </w:r>
    </w:p>
    <w:p>
      <w:pPr>
        <w:spacing w:after="12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Het behandelplan is het hart van de behandeling. Je kunt een plan handmatig opbouwen of laten genereren door AI op basis van de intake.</w:t>
      </w:r>
    </w:p>
    <w:p>
      <w:pPr>
        <w:spacing w:after="80"/>
      </w:pPr>
    </w:p>
    <w:p>
      <w:pPr>
        <w:spacing w:after="120" w:before="200"/>
        <w:jc w:val="center"/>
      </w:pPr>
      <w:r>
        <w:drawing>
          <wp:inline distT="0" distB="0" distL="0" distR="0">
            <wp:extent cx="5524500" cy="2762250"/>
            <wp:effectExtent t="0" r="0" b="0" l="0"/>
            <wp:docPr id="1" name="Behandelplan" descr="Behandelplan" title="Behandel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Arial" w:cs="Arial" w:eastAsia="Arial" w:hAnsi="Arial"/>
          <w:i/>
          <w:iCs/>
          <w:color w:val="64748B"/>
          <w:sz w:val="18"/>
          <w:szCs w:val="18"/>
        </w:rPr>
        <w:t xml:space="preserve">Afbeelding 5 – Behandelplan met versiebeheer</w:t>
      </w:r>
    </w:p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1A73E8"/>
          <w:sz w:val="26"/>
          <w:szCs w:val="26"/>
        </w:rPr>
        <w:t xml:space="preserve">AI-gegenereerd plan</w:t>
      </w:r>
    </w:p>
    <w:p>
      <w:pPr>
        <w:spacing w:after="12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Via de knop “Genereer met AI” maakt het systeem een volledig conceptplan aan. De AI (Claude) gebruikt hiervoor:</w:t>
      </w:r>
    </w:p>
    <w:p>
      <w:pPr>
        <w:spacing w:after="80"/>
      </w:pP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De intakenotities en het behandeladvies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De gestelde ICD-10 diagnose en ernst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De leefgebiedenscores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Eventuele extra instructies die je zelf meegeeft (max. 500 tekens)</w:t>
      </w:r>
    </w:p>
    <w:p>
      <w:pPr>
        <w:spacing w:after="80"/>
      </w:pPr>
    </w:p>
    <w:p>
      <w:pPr>
        <w:spacing w:after="12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Het gegenereerde plan bevat: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/>
          <w:bCs/>
          <w:color w:val="1E293B"/>
          <w:sz w:val="21"/>
          <w:szCs w:val="21"/>
        </w:rPr>
        <w:t xml:space="preserve">SMART-behandeldoelen</w:t>
      </w:r>
      <w:r>
        <w:rPr>
          <w:rFonts w:ascii="Arial" w:cs="Arial" w:eastAsia="Arial" w:hAnsi="Arial"/>
          <w:color w:val="1E293B"/>
          <w:sz w:val="21"/>
          <w:szCs w:val="21"/>
        </w:rPr>
        <w:t xml:space="preserve"> met bijbehorende interventies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/>
          <w:bCs/>
          <w:color w:val="1E293B"/>
          <w:sz w:val="21"/>
          <w:szCs w:val="21"/>
        </w:rPr>
        <w:t xml:space="preserve">Behandelstructuur</w:t>
      </w:r>
      <w:r>
        <w:rPr>
          <w:rFonts w:ascii="Arial" w:cs="Arial" w:eastAsia="Arial" w:hAnsi="Arial"/>
          <w:color w:val="1E293B"/>
          <w:sz w:val="21"/>
          <w:szCs w:val="21"/>
        </w:rPr>
        <w:t xml:space="preserve"> (duur, frequentie, sessievorm)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/>
          <w:bCs/>
          <w:color w:val="1E293B"/>
          <w:sz w:val="21"/>
          <w:szCs w:val="21"/>
        </w:rPr>
        <w:t xml:space="preserve">Evaluatiemomenten</w:t>
      </w:r>
      <w:r>
        <w:rPr>
          <w:rFonts w:ascii="Arial" w:cs="Arial" w:eastAsia="Arial" w:hAnsi="Arial"/>
          <w:color w:val="1E293B"/>
          <w:sz w:val="21"/>
          <w:szCs w:val="21"/>
        </w:rPr>
        <w:t xml:space="preserve"> (tussentijds en eindevaluatie)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/>
          <w:bCs/>
          <w:color w:val="1E293B"/>
          <w:sz w:val="21"/>
          <w:szCs w:val="21"/>
        </w:rPr>
        <w:t xml:space="preserve">Veiligheidsplan</w:t>
      </w:r>
      <w:r>
        <w:rPr>
          <w:rFonts w:ascii="Arial" w:cs="Arial" w:eastAsia="Arial" w:hAnsi="Arial"/>
          <w:color w:val="1E293B"/>
          <w:sz w:val="21"/>
          <w:szCs w:val="21"/>
        </w:rPr>
        <w:t xml:space="preserve"> — automatisch meegenomen bij een ernstige diagnose</w:t>
      </w:r>
    </w:p>
    <w:p>
      <w:pPr>
        <w:spacing w:after="80"/>
      </w:pPr>
    </w:p>
    <w:p>
      <w:pPr>
        <w:spacing w:after="12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Het plan wordt aangemaakt als concept; je kunt het volledig aanpassen vóór publicatie.</w:t>
      </w:r>
    </w:p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1A73E8"/>
          <w:sz w:val="26"/>
          <w:szCs w:val="26"/>
        </w:rPr>
        <w:t xml:space="preserve">Leefgebieden</w:t>
      </w:r>
    </w:p>
    <w:p>
      <w:pPr>
        <w:spacing w:after="12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Bij het opstellen van een behandelplan scoor je zeven leefgebieden op een schaal van 0–10 en geef je per domein een prioriteit mee:</w:t>
      </w:r>
    </w:p>
    <w:p>
      <w:pPr>
        <w:spacing w:after="80"/>
      </w:pP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Dagelijkse Levensvaardigheden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Gezondheid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Werk &amp; Activiteiten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Huisvesting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Sociale Relaties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Maatschappelijke Participatie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Veiligheid</w:t>
      </w:r>
    </w:p>
    <w:p>
      <w:pPr>
        <w:spacing w:after="80"/>
      </w:pPr>
    </w:p>
    <w:p>
      <w:pPr>
        <w:spacing w:after="12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Deze scores kleuren het behandelplan: de AI koppelt doelen automatisch aan de domeinen met de hoogste prioriteit.</w:t>
      </w:r>
    </w:p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1A73E8"/>
          <w:sz w:val="26"/>
          <w:szCs w:val="26"/>
        </w:rPr>
        <w:t xml:space="preserve">Behandeldoelen</w:t>
      </w:r>
    </w:p>
    <w:p>
      <w:pPr>
        <w:spacing w:after="12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Per doel leg je vast: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Titel en omschrijving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Gekoppeld leefgebied en prioriteit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Voortgang (0–100%) en status: Niet gestart / Bezig / Gehaald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Eindweek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Bijbehorende interventies (inline, per doel)</w:t>
      </w:r>
    </w:p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1A73E8"/>
          <w:sz w:val="26"/>
          <w:szCs w:val="26"/>
        </w:rPr>
        <w:t xml:space="preserve">Versiebeheer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Elk behandelplan krijgt een versienummer (v1, v2, …)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Je kunt een nieuw concept aanmaken terwijl het vorige plan actief blijft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Statussen: Concept, Actief, On hold, Afgerond, Ingetrokken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Alle versies blijven raadpleegbaar via de versieselectie in het zijpaneel</w:t>
      </w:r>
    </w:p>
    <w:p>
      <w:pPr>
        <w:pStyle w:val="Heading2"/>
        <w:spacing w:after="160" w:before="280"/>
      </w:pPr>
      <w:r>
        <w:rPr>
          <w:rFonts w:ascii="Arial" w:cs="Arial" w:eastAsia="Arial" w:hAnsi="Arial"/>
          <w:b/>
          <w:bCs/>
          <w:color w:val="1A73E8"/>
          <w:sz w:val="26"/>
          <w:szCs w:val="26"/>
        </w:rPr>
        <w:t xml:space="preserve">Planning &amp; Evaluatie</w:t>
      </w:r>
    </w:p>
    <w:p>
      <w:pPr>
        <w:spacing w:after="12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In het uitklapbare blok “Planning &amp; Evaluatie” vind je:</w:t>
      </w:r>
    </w:p>
    <w:p>
      <w:pPr>
        <w:spacing w:after="80"/>
      </w:pP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/>
          <w:bCs/>
          <w:color w:val="1E293B"/>
          <w:sz w:val="21"/>
          <w:szCs w:val="21"/>
        </w:rPr>
        <w:t xml:space="preserve">Behandelstructuur:</w:t>
      </w:r>
      <w:r>
        <w:rPr>
          <w:rFonts w:ascii="Arial" w:cs="Arial" w:eastAsia="Arial" w:hAnsi="Arial"/>
          <w:color w:val="1E293B"/>
          <w:sz w:val="21"/>
          <w:szCs w:val="21"/>
        </w:rPr>
        <w:t xml:space="preserve"> duur van het traject, sessiefrequentie, aantal sessies en vorm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/>
          <w:bCs/>
          <w:color w:val="1E293B"/>
          <w:sz w:val="21"/>
          <w:szCs w:val="21"/>
        </w:rPr>
        <w:t xml:space="preserve">Sessieplanning:</w:t>
      </w:r>
      <w:r>
        <w:rPr>
          <w:rFonts w:ascii="Arial" w:cs="Arial" w:eastAsia="Arial" w:hAnsi="Arial"/>
          <w:color w:val="1E293B"/>
          <w:sz w:val="21"/>
          <w:szCs w:val="21"/>
        </w:rPr>
        <w:t xml:space="preserve"> per sessie een nummer, focus en datum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/>
          <w:bCs/>
          <w:color w:val="1E293B"/>
          <w:sz w:val="21"/>
          <w:szCs w:val="21"/>
        </w:rPr>
        <w:t xml:space="preserve">Evaluatiemomenten:</w:t>
      </w:r>
      <w:r>
        <w:rPr>
          <w:rFonts w:ascii="Arial" w:cs="Arial" w:eastAsia="Arial" w:hAnsi="Arial"/>
          <w:color w:val="1E293B"/>
          <w:sz w:val="21"/>
          <w:szCs w:val="21"/>
        </w:rPr>
        <w:t xml:space="preserve"> week en type (tussentijds / eind / crisis), met status gepland of afgerond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/>
          <w:bCs/>
          <w:color w:val="1E293B"/>
          <w:sz w:val="21"/>
          <w:szCs w:val="21"/>
        </w:rPr>
        <w:t xml:space="preserve">Veiligheidsplan:</w:t>
      </w:r>
      <w:r>
        <w:rPr>
          <w:rFonts w:ascii="Arial" w:cs="Arial" w:eastAsia="Arial" w:hAnsi="Arial"/>
          <w:color w:val="1E293B"/>
          <w:sz w:val="21"/>
          <w:szCs w:val="21"/>
        </w:rPr>
        <w:t xml:space="preserve"> waarschuwingssignalen, copingstrategieën, noodcontacten en afgesproken restricties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Arial" w:cs="Arial" w:eastAsia="Arial" w:hAnsi="Arial"/>
          <w:b/>
          <w:bCs/>
          <w:color w:val="1E293B"/>
          <w:sz w:val="32"/>
          <w:szCs w:val="32"/>
        </w:rPr>
        <w:t xml:space="preserve">Bekende beperkingen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Behandeldoelen starten leeg bij een nieuw handmatig plan; sjablonen zijn nog niet beschikbaar.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Sortering en dubbele-codevalidatie bij diagnoses volgt in een volgende release.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Het notitieveld in de Algemeen-tab ondersteunt nog geen opmaak (geen vetgedrukte tekst, lijsten, e.d.).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E293B"/>
          <w:sz w:val="21"/>
          <w:szCs w:val="21"/>
        </w:rPr>
        <w:t xml:space="preserve">AI-generatie vereist dat er minimaal een intake met notities aanwezig is; zonder intake-context is het resultaat beperkt.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BD5E1" w:sz="4" w:space="1"/>
      </w:pBdr>
      <w:tabs>
        <w:tab w:val="right" w:pos="9026"/>
      </w:tabs>
    </w:pPr>
    <w:r>
      <w:rPr>
        <w:rFonts w:ascii="Arial" w:cs="Arial" w:eastAsia="Arial" w:hAnsi="Arial"/>
        <w:color w:val="64748B"/>
        <w:sz w:val="16"/>
        <w:szCs w:val="16"/>
      </w:rPr>
      <w:t xml:space="preserve">Mini-EPD – Release Notes</w:t>
    </w:r>
    <w:r>
      <w:rPr>
        <w:rFonts w:ascii="Arial" w:cs="Arial" w:eastAsia="Arial" w:hAnsi="Arial"/>
        <w:color w:val="64748B"/>
        <w:sz w:val="16"/>
        <w:szCs w:val="16"/>
      </w:rPr>
      <w:t xml:space="preserve">	Pagina </w:t>
    </w:r>
    <w:r>
      <w:rPr>
        <w:rFonts w:ascii="Arial" w:cs="Arial" w:eastAsia="Arial" w:hAnsi="Arial"/>
        <w:color w:val="64748B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A73E8" w:sz="6" w:space="1"/>
      </w:pBdr>
      <w:tabs>
        <w:tab w:val="right" w:pos="9026"/>
      </w:tabs>
      <w:spacing w:after="0"/>
    </w:pPr>
    <w:r>
      <w:rPr>
        <w:rFonts w:ascii="Arial" w:cs="Arial" w:eastAsia="Arial" w:hAnsi="Arial"/>
        <w:b/>
        <w:bCs/>
        <w:color w:val="1A73E8"/>
        <w:sz w:val="20"/>
        <w:szCs w:val="20"/>
      </w:rPr>
      <w:t xml:space="preserve">Mini-EPD</w:t>
    </w:r>
    <w:r>
      <w:rPr>
        <w:rFonts w:ascii="Arial" w:cs="Arial" w:eastAsia="Arial" w:hAnsi="Arial"/>
        <w:color w:val="64748B"/>
        <w:sz w:val="18"/>
        <w:szCs w:val="18"/>
      </w:rPr>
      <w:t xml:space="preserve">	Release Notes – Intake &amp; Behandelplan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1E293B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60" w:before="280"/>
      <w:outlineLvl w:val="1"/>
    </w:pPr>
    <w:rPr>
      <w:rFonts w:ascii="Arial" w:cs="Arial" w:eastAsia="Arial" w:hAnsi="Arial"/>
      <w:b/>
      <w:bCs/>
      <w:color w:val="1A73E8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7c9bf06ba6108771f8a6ce073eb86989f269a22d.png"/><Relationship Id="rId10" Type="http://schemas.openxmlformats.org/officeDocument/2006/relationships/image" Target="media/4d66465912c4b8512164a46d4a00f9748f5dc178.png"/><Relationship Id="rId11" Type="http://schemas.openxmlformats.org/officeDocument/2006/relationships/image" Target="media/d434e394a1e047d7241a9d4f6a4739475ed834cb.png"/><Relationship Id="rId12" Type="http://schemas.openxmlformats.org/officeDocument/2006/relationships/image" Target="media/a9e4820d67cc5016c9c565913f14e5e5287106e5.png"/><Relationship Id="rId13" Type="http://schemas.openxmlformats.org/officeDocument/2006/relationships/image" Target="media/36ae81f4669918a938341b00d936457ef17f7f05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2026-03-09T11:16:41.797Z</dcterms:created>
  <dcterms:modified xsi:type="dcterms:W3CDTF">2026-03-09T11:16:41.797Z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